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42"/>
        <w:tblW w:w="0" w:type="auto"/>
        <w:tblLayout w:type="fixed"/>
        <w:tblLook w:val="0000"/>
      </w:tblPr>
      <w:tblGrid>
        <w:gridCol w:w="2358"/>
        <w:gridCol w:w="8176"/>
      </w:tblGrid>
      <w:tr w:rsidR="001C1604">
        <w:trPr>
          <w:trHeight w:val="397"/>
        </w:trPr>
        <w:tc>
          <w:tcPr>
            <w:tcW w:w="10534" w:type="dxa"/>
            <w:gridSpan w:val="2"/>
          </w:tcPr>
          <w:p w:rsidR="001C1604" w:rsidRDefault="001C1604">
            <w:pPr>
              <w:pStyle w:val="1"/>
              <w:rPr>
                <w:rStyle w:val="a3"/>
                <w:rFonts w:ascii="Arial" w:hAnsi="Arial" w:cs="Arial"/>
                <w:sz w:val="30"/>
                <w:szCs w:val="30"/>
              </w:rPr>
            </w:pPr>
            <w:r>
              <w:rPr>
                <w:rStyle w:val="a3"/>
                <w:rFonts w:ascii="Arial" w:hAnsi="Arial" w:cs="Arial"/>
                <w:sz w:val="30"/>
                <w:szCs w:val="30"/>
              </w:rPr>
              <w:t>PRODUCT DATA SHEET</w:t>
            </w:r>
          </w:p>
          <w:p w:rsidR="001C1604" w:rsidRDefault="002D2DD6" w:rsidP="00D53073">
            <w:pPr>
              <w:jc w:val="center"/>
              <w:rPr>
                <w:rStyle w:val="a3"/>
                <w:rFonts w:ascii="Arial" w:hAnsi="Arial" w:cs="Arial"/>
                <w:b w:val="0"/>
                <w:sz w:val="28"/>
              </w:rPr>
            </w:pPr>
            <w:r>
              <w:rPr>
                <w:rStyle w:val="a3"/>
                <w:rFonts w:ascii="Arial" w:hAnsi="Arial" w:cs="Arial" w:hint="eastAsia"/>
                <w:b w:val="0"/>
                <w:sz w:val="28"/>
              </w:rPr>
              <w:t>HPM</w:t>
            </w:r>
            <w:r w:rsidR="009E3733">
              <w:rPr>
                <w:rStyle w:val="a3"/>
                <w:rFonts w:ascii="Arial" w:hAnsi="Arial" w:cs="Arial" w:hint="eastAsia"/>
                <w:b w:val="0"/>
                <w:sz w:val="28"/>
              </w:rPr>
              <w:t>A</w:t>
            </w:r>
          </w:p>
        </w:tc>
      </w:tr>
      <w:tr w:rsidR="001C1604">
        <w:trPr>
          <w:trHeight w:val="397"/>
        </w:trPr>
        <w:tc>
          <w:tcPr>
            <w:tcW w:w="2358" w:type="dxa"/>
          </w:tcPr>
          <w:p w:rsidR="001C1604" w:rsidRDefault="001C1604">
            <w:pPr>
              <w:rPr>
                <w:rFonts w:ascii="Arial" w:hAnsi="Arial" w:cs="Arial"/>
                <w:sz w:val="24"/>
              </w:rPr>
            </w:pPr>
            <w:r>
              <w:rPr>
                <w:rFonts w:ascii="Arial" w:hAnsi="Arial" w:cs="Arial"/>
                <w:sz w:val="24"/>
              </w:rPr>
              <w:t>Synonyms</w:t>
            </w:r>
          </w:p>
        </w:tc>
        <w:tc>
          <w:tcPr>
            <w:tcW w:w="8176" w:type="dxa"/>
          </w:tcPr>
          <w:p w:rsidR="001C1604" w:rsidRDefault="002D2DD6" w:rsidP="00FB01F6">
            <w:pPr>
              <w:rPr>
                <w:rFonts w:ascii="Arial" w:hAnsi="Arial" w:cs="Arial"/>
                <w:sz w:val="24"/>
              </w:rPr>
            </w:pPr>
            <w:r w:rsidRPr="002D2DD6">
              <w:rPr>
                <w:rFonts w:ascii="Arial" w:hAnsi="Arial" w:cs="Arial"/>
                <w:sz w:val="24"/>
              </w:rPr>
              <w:t>Hydrolyzed Polymaleic Anhydride</w:t>
            </w:r>
          </w:p>
        </w:tc>
      </w:tr>
      <w:tr w:rsidR="001C1604">
        <w:trPr>
          <w:trHeight w:val="397"/>
        </w:trPr>
        <w:tc>
          <w:tcPr>
            <w:tcW w:w="2358" w:type="dxa"/>
          </w:tcPr>
          <w:p w:rsidR="001C1604" w:rsidRDefault="001C1604">
            <w:pPr>
              <w:rPr>
                <w:rFonts w:ascii="Arial" w:hAnsi="Arial" w:cs="Arial"/>
                <w:sz w:val="24"/>
              </w:rPr>
            </w:pPr>
            <w:r>
              <w:rPr>
                <w:rFonts w:ascii="Arial" w:hAnsi="Arial" w:cs="Arial"/>
                <w:sz w:val="24"/>
              </w:rPr>
              <w:t>CAS Number</w:t>
            </w:r>
          </w:p>
        </w:tc>
        <w:tc>
          <w:tcPr>
            <w:tcW w:w="8176" w:type="dxa"/>
          </w:tcPr>
          <w:p w:rsidR="001C1604" w:rsidRDefault="009E3733" w:rsidP="002D2DD6">
            <w:pPr>
              <w:rPr>
                <w:rFonts w:ascii="Arial" w:hAnsi="Arial" w:cs="Arial"/>
                <w:sz w:val="24"/>
              </w:rPr>
            </w:pPr>
            <w:r>
              <w:rPr>
                <w:rFonts w:ascii="Arial" w:hAnsi="Arial" w:cs="Arial" w:hint="eastAsia"/>
                <w:sz w:val="24"/>
              </w:rPr>
              <w:t>2</w:t>
            </w:r>
            <w:r w:rsidR="002D2DD6">
              <w:rPr>
                <w:rFonts w:ascii="Arial" w:hAnsi="Arial" w:cs="Arial" w:hint="eastAsia"/>
                <w:sz w:val="24"/>
              </w:rPr>
              <w:t>6099-09-02</w:t>
            </w:r>
          </w:p>
        </w:tc>
      </w:tr>
      <w:tr w:rsidR="001C1604">
        <w:trPr>
          <w:trHeight w:val="397"/>
        </w:trPr>
        <w:tc>
          <w:tcPr>
            <w:tcW w:w="2358" w:type="dxa"/>
          </w:tcPr>
          <w:p w:rsidR="001C1604" w:rsidRDefault="001C1604">
            <w:pPr>
              <w:rPr>
                <w:rFonts w:ascii="Arial" w:hAnsi="Arial" w:cs="Arial"/>
                <w:sz w:val="24"/>
              </w:rPr>
            </w:pPr>
            <w:r>
              <w:rPr>
                <w:rFonts w:ascii="Arial" w:hAnsi="Arial" w:cs="Arial" w:hint="eastAsia"/>
                <w:sz w:val="24"/>
              </w:rPr>
              <w:t>UN No.</w:t>
            </w:r>
          </w:p>
        </w:tc>
        <w:tc>
          <w:tcPr>
            <w:tcW w:w="8176" w:type="dxa"/>
          </w:tcPr>
          <w:p w:rsidR="001C1604" w:rsidRDefault="00F10F21">
            <w:pPr>
              <w:rPr>
                <w:rFonts w:ascii="Arial" w:hAnsi="Arial" w:cs="Arial"/>
                <w:sz w:val="24"/>
              </w:rPr>
            </w:pPr>
            <w:r>
              <w:rPr>
                <w:rFonts w:ascii="Arial" w:hAnsi="Arial" w:cs="Arial" w:hint="eastAsia"/>
                <w:sz w:val="24"/>
              </w:rPr>
              <w:t>3265</w:t>
            </w:r>
          </w:p>
        </w:tc>
      </w:tr>
      <w:tr w:rsidR="001C1604">
        <w:trPr>
          <w:trHeight w:val="255"/>
        </w:trPr>
        <w:tc>
          <w:tcPr>
            <w:tcW w:w="2358" w:type="dxa"/>
          </w:tcPr>
          <w:p w:rsidR="001C1604" w:rsidRDefault="001C1604">
            <w:pPr>
              <w:rPr>
                <w:rFonts w:ascii="Arial" w:hAnsi="Arial" w:cs="Arial"/>
                <w:sz w:val="24"/>
              </w:rPr>
            </w:pPr>
            <w:r>
              <w:rPr>
                <w:rFonts w:ascii="Arial" w:hAnsi="Arial" w:cs="Arial"/>
                <w:sz w:val="24"/>
              </w:rPr>
              <w:t>Structural Formula</w:t>
            </w:r>
          </w:p>
        </w:tc>
        <w:tc>
          <w:tcPr>
            <w:tcW w:w="8176" w:type="dxa"/>
          </w:tcPr>
          <w:p w:rsidR="001C1604" w:rsidRDefault="002D2DD6">
            <w:pPr>
              <w:ind w:left="12"/>
              <w:rPr>
                <w:rFonts w:ascii="Arial" w:hAnsi="Arial" w:cs="Arial"/>
                <w:sz w:val="24"/>
              </w:rPr>
            </w:pPr>
            <w:r>
              <w:rPr>
                <w:noProof/>
              </w:rPr>
              <w:drawing>
                <wp:inline distT="0" distB="0" distL="0" distR="0">
                  <wp:extent cx="2895600" cy="1133475"/>
                  <wp:effectExtent l="19050" t="0" r="0" b="0"/>
                  <wp:docPr id="3" name="图片 1" descr="http://www.th-chem.com/cp_img/3/HP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chem.com/cp_img/3/HPMA.gif"/>
                          <pic:cNvPicPr>
                            <a:picLocks noChangeAspect="1" noChangeArrowheads="1"/>
                          </pic:cNvPicPr>
                        </pic:nvPicPr>
                        <pic:blipFill>
                          <a:blip r:embed="rId6"/>
                          <a:srcRect/>
                          <a:stretch>
                            <a:fillRect/>
                          </a:stretch>
                        </pic:blipFill>
                        <pic:spPr bwMode="auto">
                          <a:xfrm>
                            <a:off x="0" y="0"/>
                            <a:ext cx="2895600" cy="1133475"/>
                          </a:xfrm>
                          <a:prstGeom prst="rect">
                            <a:avLst/>
                          </a:prstGeom>
                          <a:noFill/>
                          <a:ln w="9525">
                            <a:noFill/>
                            <a:miter lim="800000"/>
                            <a:headEnd/>
                            <a:tailEnd/>
                          </a:ln>
                        </pic:spPr>
                      </pic:pic>
                    </a:graphicData>
                  </a:graphic>
                </wp:inline>
              </w:drawing>
            </w:r>
          </w:p>
        </w:tc>
      </w:tr>
      <w:tr w:rsidR="001C1604">
        <w:trPr>
          <w:trHeight w:val="360"/>
        </w:trPr>
        <w:tc>
          <w:tcPr>
            <w:tcW w:w="2358" w:type="dxa"/>
          </w:tcPr>
          <w:p w:rsidR="001C1604" w:rsidRDefault="001C1604">
            <w:pPr>
              <w:rPr>
                <w:rFonts w:ascii="Arial" w:hAnsi="Arial" w:cs="Arial"/>
                <w:sz w:val="24"/>
              </w:rPr>
            </w:pPr>
            <w:r>
              <w:rPr>
                <w:rFonts w:ascii="Arial" w:hAnsi="Arial" w:cs="Arial"/>
                <w:sz w:val="24"/>
              </w:rPr>
              <w:t>Product Grade</w:t>
            </w:r>
          </w:p>
        </w:tc>
        <w:tc>
          <w:tcPr>
            <w:tcW w:w="8176" w:type="dxa"/>
          </w:tcPr>
          <w:p w:rsidR="001C1604" w:rsidRDefault="001C1604">
            <w:pPr>
              <w:ind w:left="12"/>
              <w:rPr>
                <w:rFonts w:ascii="Arial" w:hAnsi="Arial" w:cs="Arial"/>
                <w:sz w:val="24"/>
              </w:rPr>
            </w:pPr>
            <w:r>
              <w:rPr>
                <w:rFonts w:ascii="Arial" w:hAnsi="Arial" w:cs="Arial"/>
                <w:sz w:val="24"/>
              </w:rPr>
              <w:t>Industrial</w:t>
            </w:r>
          </w:p>
          <w:p w:rsidR="001C1604" w:rsidRDefault="001C1604">
            <w:pPr>
              <w:ind w:left="12"/>
              <w:rPr>
                <w:rFonts w:ascii="Arial" w:hAnsi="Arial" w:cs="Arial"/>
                <w:sz w:val="24"/>
              </w:rPr>
            </w:pPr>
          </w:p>
        </w:tc>
      </w:tr>
      <w:tr w:rsidR="001C1604">
        <w:trPr>
          <w:trHeight w:val="405"/>
        </w:trPr>
        <w:tc>
          <w:tcPr>
            <w:tcW w:w="2358" w:type="dxa"/>
          </w:tcPr>
          <w:p w:rsidR="001C1604" w:rsidRDefault="001C1604">
            <w:pPr>
              <w:jc w:val="left"/>
              <w:rPr>
                <w:rFonts w:ascii="Arial" w:hAnsi="Arial" w:cs="Arial"/>
                <w:sz w:val="24"/>
              </w:rPr>
            </w:pPr>
            <w:r>
              <w:rPr>
                <w:rFonts w:ascii="Arial" w:hAnsi="Arial" w:cs="Arial"/>
                <w:sz w:val="24"/>
              </w:rPr>
              <w:t xml:space="preserve">Description </w:t>
            </w:r>
          </w:p>
          <w:p w:rsidR="001C1604" w:rsidRDefault="001C1604">
            <w:pPr>
              <w:jc w:val="left"/>
              <w:rPr>
                <w:rFonts w:ascii="Arial" w:hAnsi="Arial" w:cs="Arial"/>
                <w:sz w:val="24"/>
              </w:rPr>
            </w:pPr>
            <w:r>
              <w:rPr>
                <w:rFonts w:ascii="Arial" w:hAnsi="Arial" w:cs="Arial"/>
                <w:sz w:val="24"/>
              </w:rPr>
              <w:t>&amp; Application</w:t>
            </w:r>
          </w:p>
        </w:tc>
        <w:tc>
          <w:tcPr>
            <w:tcW w:w="8176" w:type="dxa"/>
          </w:tcPr>
          <w:p w:rsidR="001C1604" w:rsidRDefault="002D2DD6" w:rsidP="002D2DD6">
            <w:pPr>
              <w:jc w:val="left"/>
              <w:rPr>
                <w:rFonts w:ascii="Arial" w:hAnsi="Arial" w:cs="Arial"/>
                <w:sz w:val="24"/>
              </w:rPr>
            </w:pPr>
            <w:r w:rsidRPr="002D2DD6">
              <w:rPr>
                <w:rFonts w:ascii="Arial" w:hAnsi="Arial" w:cs="Arial"/>
                <w:sz w:val="24"/>
              </w:rPr>
              <w:t>HPMA is a low molecular weight polymeride, with average molecular weight 400-800. No toxicity, soluble in water, high chemical and thermal stability, decomposed temperature above 330</w:t>
            </w:r>
            <w:r w:rsidRPr="002D2DD6">
              <w:rPr>
                <w:rFonts w:ascii="Arial" w:hAnsi="Arial" w:cs="Arial" w:hint="eastAsia"/>
                <w:sz w:val="24"/>
              </w:rPr>
              <w:t>℃</w:t>
            </w:r>
            <w:r w:rsidRPr="002D2DD6">
              <w:rPr>
                <w:rFonts w:ascii="Arial" w:hAnsi="Arial" w:cs="Arial"/>
                <w:sz w:val="24"/>
              </w:rPr>
              <w:t>. HPMA has obvious threshold effect under high temperature (350</w:t>
            </w:r>
            <w:r w:rsidRPr="002D2DD6">
              <w:rPr>
                <w:rFonts w:ascii="Arial" w:hAnsi="Arial" w:cs="Arial" w:hint="eastAsia"/>
                <w:sz w:val="24"/>
              </w:rPr>
              <w:t>℃</w:t>
            </w:r>
            <w:r w:rsidRPr="002D2DD6">
              <w:rPr>
                <w:rFonts w:ascii="Arial" w:hAnsi="Arial" w:cs="Arial"/>
                <w:sz w:val="24"/>
              </w:rPr>
              <w:t>) and high pH(8.3)level, suitable to be used in alkaline water system or built with agents. It has good scale inhibition against carbonate and phosphate scales under temperature 300</w:t>
            </w:r>
            <w:r w:rsidRPr="002D2DD6">
              <w:rPr>
                <w:rFonts w:ascii="Arial" w:hAnsi="Arial" w:cs="Arial" w:hint="eastAsia"/>
                <w:sz w:val="24"/>
              </w:rPr>
              <w:t>℃</w:t>
            </w:r>
            <w:r w:rsidRPr="002D2DD6">
              <w:rPr>
                <w:rFonts w:ascii="Arial" w:hAnsi="Arial" w:cs="Arial"/>
                <w:sz w:val="24"/>
              </w:rPr>
              <w:t xml:space="preserve"> with effective time as long as 100 hours. Due to its good scale inhibition and high temperature tolerance properties, HPMA is widely used in desalination plant of flash vaporization equipment, low pressure boiler, steam locomotive, crude oil evaporation, petroleum pipeline, and industrial circulating cool water systems. In addition, HPMA has good corrosion inhibition effect when used together with zinc salt. HPMA can also used as additives for cement.</w:t>
            </w:r>
            <w:r w:rsidR="001306C3">
              <w:rPr>
                <w:rFonts w:ascii="Arial" w:hAnsi="Arial" w:cs="Arial"/>
                <w:sz w:val="24"/>
              </w:rPr>
              <w:t xml:space="preserve"> </w:t>
            </w:r>
            <w:r w:rsidR="001C1604">
              <w:rPr>
                <w:rFonts w:ascii="Arial" w:hAnsi="Arial" w:cs="Arial"/>
                <w:sz w:val="24"/>
              </w:rPr>
              <w:t xml:space="preserve"> </w:t>
            </w:r>
          </w:p>
          <w:p w:rsidR="001C1604" w:rsidRDefault="001C1604">
            <w:pPr>
              <w:ind w:left="12"/>
              <w:rPr>
                <w:rFonts w:ascii="Arial" w:hAnsi="Arial" w:cs="Arial"/>
                <w:sz w:val="24"/>
              </w:rPr>
            </w:pPr>
          </w:p>
        </w:tc>
      </w:tr>
      <w:tr w:rsidR="001C1604">
        <w:trPr>
          <w:trHeight w:val="300"/>
        </w:trPr>
        <w:tc>
          <w:tcPr>
            <w:tcW w:w="2358" w:type="dxa"/>
          </w:tcPr>
          <w:p w:rsidR="001C1604" w:rsidRDefault="001C1604">
            <w:pPr>
              <w:rPr>
                <w:rFonts w:ascii="Arial" w:hAnsi="Arial" w:cs="Arial"/>
                <w:sz w:val="24"/>
              </w:rPr>
            </w:pPr>
            <w:r>
              <w:rPr>
                <w:rFonts w:ascii="Arial" w:hAnsi="Arial" w:cs="Arial"/>
                <w:sz w:val="24"/>
              </w:rPr>
              <w:t>Safety</w:t>
            </w:r>
            <w:r>
              <w:rPr>
                <w:rFonts w:ascii="Arial" w:hAnsi="Arial" w:cs="Arial" w:hint="eastAsia"/>
                <w:sz w:val="24"/>
              </w:rPr>
              <w:t xml:space="preserve"> Protection</w:t>
            </w:r>
          </w:p>
        </w:tc>
        <w:tc>
          <w:tcPr>
            <w:tcW w:w="8176" w:type="dxa"/>
          </w:tcPr>
          <w:p w:rsidR="001C1604" w:rsidRDefault="001C1604">
            <w:pPr>
              <w:ind w:left="12"/>
              <w:rPr>
                <w:rFonts w:ascii="Arial" w:hAnsi="Arial" w:cs="Arial"/>
                <w:sz w:val="24"/>
              </w:rPr>
            </w:pPr>
            <w:r>
              <w:rPr>
                <w:rFonts w:ascii="Arial" w:hAnsi="Arial" w:cs="Arial" w:hint="eastAsia"/>
                <w:sz w:val="24"/>
              </w:rPr>
              <w:t>Acidity, avoid contact with eye and skin, once contacted, flush with water.</w:t>
            </w:r>
          </w:p>
          <w:p w:rsidR="001C1604" w:rsidRDefault="001C1604">
            <w:pPr>
              <w:ind w:left="12"/>
              <w:rPr>
                <w:rFonts w:ascii="Arial" w:hAnsi="Arial" w:cs="Arial"/>
                <w:sz w:val="24"/>
              </w:rPr>
            </w:pPr>
          </w:p>
        </w:tc>
      </w:tr>
      <w:tr w:rsidR="001C1604">
        <w:trPr>
          <w:trHeight w:val="315"/>
        </w:trPr>
        <w:tc>
          <w:tcPr>
            <w:tcW w:w="2358" w:type="dxa"/>
          </w:tcPr>
          <w:p w:rsidR="001C1604" w:rsidRDefault="001C1604">
            <w:pPr>
              <w:rPr>
                <w:rFonts w:ascii="Arial" w:hAnsi="Arial" w:cs="Arial"/>
                <w:sz w:val="24"/>
              </w:rPr>
            </w:pPr>
            <w:r>
              <w:rPr>
                <w:rFonts w:ascii="Arial" w:hAnsi="Arial" w:cs="Arial"/>
                <w:sz w:val="24"/>
              </w:rPr>
              <w:t>Specification</w:t>
            </w:r>
          </w:p>
        </w:tc>
        <w:tc>
          <w:tcPr>
            <w:tcW w:w="8176" w:type="dxa"/>
          </w:tcPr>
          <w:p w:rsidR="001C1604" w:rsidRDefault="003E15B2">
            <w:pPr>
              <w:rPr>
                <w:rFonts w:ascii="Arial" w:hAnsi="Arial" w:cs="Arial"/>
                <w:sz w:val="24"/>
              </w:rPr>
            </w:pPr>
            <w:r>
              <w:rPr>
                <w:rFonts w:ascii="Arial" w:hAnsi="Arial" w:cs="Arial" w:hint="eastAsia"/>
                <w:sz w:val="24"/>
              </w:rPr>
              <w:t>Solid</w:t>
            </w:r>
            <w:r w:rsidR="001C1604">
              <w:rPr>
                <w:rFonts w:ascii="Arial" w:hAnsi="Arial" w:cs="Arial"/>
                <w:sz w:val="24"/>
              </w:rPr>
              <w:t xml:space="preserve"> content% </w:t>
            </w:r>
            <w:r w:rsidR="001C1604">
              <w:rPr>
                <w:rFonts w:ascii="Arial" w:hAnsi="Arial" w:cs="Arial" w:hint="eastAsia"/>
                <w:sz w:val="24"/>
              </w:rPr>
              <w:t xml:space="preserve">: </w:t>
            </w:r>
            <w:r w:rsidR="002A53B3" w:rsidRPr="002A53B3">
              <w:rPr>
                <w:rFonts w:ascii="Arial" w:hAnsi="Arial" w:cs="Arial" w:hint="eastAsia"/>
                <w:sz w:val="24"/>
              </w:rPr>
              <w:t>≥</w:t>
            </w:r>
            <w:r w:rsidR="002A53B3" w:rsidRPr="002A53B3">
              <w:rPr>
                <w:rFonts w:ascii="Arial" w:hAnsi="Arial" w:cs="Arial" w:hint="eastAsia"/>
                <w:sz w:val="24"/>
              </w:rPr>
              <w:t>48</w:t>
            </w:r>
          </w:p>
          <w:p w:rsidR="001C1604" w:rsidRDefault="002A53B3">
            <w:pPr>
              <w:rPr>
                <w:rFonts w:ascii="Arial" w:hAnsi="Arial" w:cs="Arial"/>
                <w:sz w:val="24"/>
              </w:rPr>
            </w:pPr>
            <w:r w:rsidRPr="002A53B3">
              <w:rPr>
                <w:rFonts w:ascii="Arial" w:hAnsi="Arial" w:cs="Arial" w:hint="eastAsia"/>
                <w:sz w:val="24"/>
              </w:rPr>
              <w:t>Bromine value(mg/g)</w:t>
            </w:r>
            <w:r w:rsidR="001C1604">
              <w:rPr>
                <w:rFonts w:ascii="Arial" w:hAnsi="Arial" w:cs="Arial"/>
                <w:sz w:val="24"/>
              </w:rPr>
              <w:t>：</w:t>
            </w:r>
            <w:r w:rsidR="001C1604" w:rsidRPr="002A53B3">
              <w:rPr>
                <w:rFonts w:ascii="Arial" w:hAnsi="Arial" w:cs="Arial"/>
                <w:sz w:val="24"/>
              </w:rPr>
              <w:t>≤</w:t>
            </w:r>
            <w:r>
              <w:rPr>
                <w:rFonts w:ascii="Arial" w:hAnsi="Arial" w:cs="Arial" w:hint="eastAsia"/>
                <w:sz w:val="24"/>
              </w:rPr>
              <w:t>80</w:t>
            </w:r>
            <w:r w:rsidR="00A00A2B">
              <w:rPr>
                <w:rFonts w:ascii="Arial" w:hAnsi="Arial" w:cs="Arial" w:hint="eastAsia"/>
                <w:sz w:val="24"/>
              </w:rPr>
              <w:t>.0</w:t>
            </w:r>
          </w:p>
          <w:p w:rsidR="00FB01F6" w:rsidRPr="00FB01F6" w:rsidRDefault="001C1604">
            <w:pPr>
              <w:rPr>
                <w:rFonts w:ascii="Arial" w:hAnsi="Arial" w:cs="Arial"/>
                <w:sz w:val="24"/>
              </w:rPr>
            </w:pPr>
            <w:r>
              <w:rPr>
                <w:rFonts w:ascii="Arial" w:hAnsi="Arial" w:cs="Arial" w:hint="eastAsia"/>
                <w:sz w:val="24"/>
              </w:rPr>
              <w:t>p</w:t>
            </w:r>
            <w:r>
              <w:rPr>
                <w:rFonts w:ascii="Arial" w:hAnsi="Arial" w:cs="Arial"/>
                <w:sz w:val="24"/>
              </w:rPr>
              <w:t>H</w:t>
            </w:r>
            <w:r>
              <w:rPr>
                <w:rFonts w:ascii="Arial" w:hAnsi="Arial" w:cs="Arial"/>
                <w:sz w:val="24"/>
              </w:rPr>
              <w:t>（</w:t>
            </w:r>
            <w:r>
              <w:rPr>
                <w:rFonts w:ascii="Arial" w:hAnsi="Arial" w:cs="Arial"/>
                <w:sz w:val="24"/>
              </w:rPr>
              <w:t>1% solution</w:t>
            </w:r>
            <w:r>
              <w:rPr>
                <w:rFonts w:ascii="Arial" w:hAnsi="Arial" w:cs="Arial"/>
                <w:sz w:val="24"/>
              </w:rPr>
              <w:t>）</w:t>
            </w:r>
            <w:r>
              <w:rPr>
                <w:rFonts w:ascii="Arial" w:hAnsi="Arial" w:cs="Arial"/>
                <w:sz w:val="24"/>
              </w:rPr>
              <w:t xml:space="preserve">: </w:t>
            </w:r>
            <w:r w:rsidR="002A53B3" w:rsidRPr="002A53B3">
              <w:rPr>
                <w:rFonts w:ascii="Arial" w:hAnsi="Arial" w:cs="Arial" w:hint="eastAsia"/>
                <w:sz w:val="24"/>
              </w:rPr>
              <w:t>2.0-</w:t>
            </w:r>
            <w:r w:rsidR="00FB01F6" w:rsidRPr="00FB01F6">
              <w:rPr>
                <w:rFonts w:ascii="Arial" w:hAnsi="Arial" w:cs="Arial" w:hint="eastAsia"/>
                <w:sz w:val="24"/>
              </w:rPr>
              <w:t>3.0</w:t>
            </w:r>
          </w:p>
          <w:p w:rsidR="001C1604" w:rsidRDefault="001C1604">
            <w:pPr>
              <w:rPr>
                <w:rFonts w:ascii="Arial" w:hAnsi="Arial" w:cs="Arial"/>
                <w:sz w:val="24"/>
              </w:rPr>
            </w:pPr>
            <w:r>
              <w:rPr>
                <w:rFonts w:ascii="Arial" w:hAnsi="Arial" w:cs="Arial"/>
                <w:sz w:val="24"/>
              </w:rPr>
              <w:t xml:space="preserve">Density(20℃) g/cm3 : </w:t>
            </w:r>
            <w:r w:rsidR="003E15B2" w:rsidRPr="002A53B3">
              <w:rPr>
                <w:rFonts w:ascii="Arial" w:hAnsi="Arial" w:cs="Arial"/>
                <w:sz w:val="24"/>
              </w:rPr>
              <w:t>≥</w:t>
            </w:r>
            <w:r w:rsidR="003E15B2" w:rsidRPr="003E15B2">
              <w:rPr>
                <w:rFonts w:ascii="Arial" w:hAnsi="Arial" w:cs="Arial" w:hint="eastAsia"/>
                <w:sz w:val="24"/>
              </w:rPr>
              <w:t>1.</w:t>
            </w:r>
            <w:r w:rsidR="00D53073">
              <w:rPr>
                <w:rFonts w:ascii="Arial" w:hAnsi="Arial" w:cs="Arial" w:hint="eastAsia"/>
                <w:sz w:val="24"/>
              </w:rPr>
              <w:t>1</w:t>
            </w:r>
            <w:r w:rsidR="002A53B3">
              <w:rPr>
                <w:rFonts w:ascii="Arial" w:hAnsi="Arial" w:cs="Arial" w:hint="eastAsia"/>
                <w:sz w:val="24"/>
              </w:rPr>
              <w:t>8</w:t>
            </w:r>
            <w:r w:rsidR="003E15B2" w:rsidRPr="003E15B2">
              <w:rPr>
                <w:rFonts w:ascii="Arial" w:hAnsi="Arial" w:cs="Arial" w:hint="eastAsia"/>
                <w:sz w:val="24"/>
              </w:rPr>
              <w:t>0</w:t>
            </w:r>
          </w:p>
          <w:p w:rsidR="001C1604" w:rsidRDefault="001C1604" w:rsidP="002A53B3">
            <w:pPr>
              <w:rPr>
                <w:rFonts w:ascii="Arial" w:hAnsi="Arial" w:cs="Arial"/>
                <w:sz w:val="24"/>
              </w:rPr>
            </w:pPr>
            <w:r>
              <w:rPr>
                <w:rFonts w:ascii="Arial" w:hAnsi="Arial" w:cs="Arial"/>
                <w:sz w:val="24"/>
              </w:rPr>
              <w:t>Appearance</w:t>
            </w:r>
            <w:r w:rsidR="00FB01F6">
              <w:rPr>
                <w:rFonts w:ascii="Arial" w:hAnsi="Arial" w:cs="Arial" w:hint="eastAsia"/>
                <w:sz w:val="24"/>
              </w:rPr>
              <w:t>:</w:t>
            </w:r>
            <w:r w:rsidR="00D53073">
              <w:rPr>
                <w:rFonts w:ascii="Arial" w:hAnsi="Arial" w:cs="Arial" w:hint="eastAsia"/>
                <w:sz w:val="24"/>
              </w:rPr>
              <w:t xml:space="preserve"> </w:t>
            </w:r>
            <w:r w:rsidR="002A53B3" w:rsidRPr="002A53B3">
              <w:rPr>
                <w:rFonts w:ascii="Arial" w:hAnsi="Arial" w:cs="Arial" w:hint="eastAsia"/>
                <w:sz w:val="24"/>
              </w:rPr>
              <w:t xml:space="preserve"> Pale yellow to umber transparent liquid</w:t>
            </w:r>
            <w:r w:rsidR="002A53B3">
              <w:rPr>
                <w:rFonts w:ascii="Arial" w:hAnsi="Arial" w:cs="Arial"/>
                <w:sz w:val="24"/>
              </w:rPr>
              <w:t xml:space="preserve"> </w:t>
            </w:r>
          </w:p>
          <w:p w:rsidR="002A53B3" w:rsidRDefault="002A53B3" w:rsidP="002A53B3">
            <w:pPr>
              <w:rPr>
                <w:rFonts w:ascii="Arial" w:hAnsi="Arial" w:cs="Arial"/>
                <w:sz w:val="24"/>
              </w:rPr>
            </w:pPr>
          </w:p>
        </w:tc>
      </w:tr>
      <w:tr w:rsidR="001C1604">
        <w:trPr>
          <w:trHeight w:val="270"/>
        </w:trPr>
        <w:tc>
          <w:tcPr>
            <w:tcW w:w="2358" w:type="dxa"/>
          </w:tcPr>
          <w:p w:rsidR="001C1604" w:rsidRDefault="001C1604">
            <w:pPr>
              <w:rPr>
                <w:rFonts w:ascii="Arial" w:hAnsi="Arial" w:cs="Arial"/>
                <w:sz w:val="24"/>
              </w:rPr>
            </w:pPr>
            <w:r>
              <w:rPr>
                <w:rFonts w:ascii="Arial" w:hAnsi="Arial" w:cs="Arial"/>
                <w:sz w:val="24"/>
              </w:rPr>
              <w:t xml:space="preserve">Package </w:t>
            </w:r>
          </w:p>
        </w:tc>
        <w:tc>
          <w:tcPr>
            <w:tcW w:w="8176" w:type="dxa"/>
          </w:tcPr>
          <w:p w:rsidR="001C1604" w:rsidRDefault="00E22157">
            <w:pPr>
              <w:ind w:left="12"/>
              <w:rPr>
                <w:rFonts w:ascii="Arial" w:hAnsi="Arial" w:cs="Arial"/>
                <w:sz w:val="24"/>
              </w:rPr>
            </w:pPr>
            <w:r w:rsidRPr="00E22157">
              <w:rPr>
                <w:rFonts w:ascii="Arial" w:hAnsi="Arial" w:cs="Arial"/>
                <w:sz w:val="24"/>
              </w:rPr>
              <w:t>Normally In 25kg net Plastic Drum</w:t>
            </w:r>
            <w:r w:rsidR="001C1604">
              <w:rPr>
                <w:rFonts w:ascii="Arial" w:hAnsi="Arial" w:cs="Arial"/>
                <w:sz w:val="24"/>
              </w:rPr>
              <w:t xml:space="preserve">. Stored in cool and dry place. </w:t>
            </w:r>
          </w:p>
          <w:p w:rsidR="001C1604" w:rsidRDefault="001C1604">
            <w:pPr>
              <w:ind w:left="12"/>
              <w:rPr>
                <w:rFonts w:ascii="Arial" w:hAnsi="Arial" w:cs="Arial"/>
                <w:sz w:val="24"/>
              </w:rPr>
            </w:pPr>
          </w:p>
        </w:tc>
      </w:tr>
      <w:tr w:rsidR="001C1604">
        <w:trPr>
          <w:trHeight w:val="270"/>
        </w:trPr>
        <w:tc>
          <w:tcPr>
            <w:tcW w:w="2358" w:type="dxa"/>
          </w:tcPr>
          <w:p w:rsidR="001C1604" w:rsidRDefault="001C1604">
            <w:pPr>
              <w:rPr>
                <w:rFonts w:ascii="Arial" w:hAnsi="Arial" w:cs="Arial"/>
                <w:sz w:val="24"/>
              </w:rPr>
            </w:pPr>
            <w:r>
              <w:rPr>
                <w:rFonts w:ascii="Arial" w:hAnsi="Arial" w:cs="Arial"/>
                <w:sz w:val="24"/>
              </w:rPr>
              <w:t>Shelf Life</w:t>
            </w:r>
          </w:p>
        </w:tc>
        <w:tc>
          <w:tcPr>
            <w:tcW w:w="8176" w:type="dxa"/>
          </w:tcPr>
          <w:p w:rsidR="001C1604" w:rsidRDefault="00E22157">
            <w:pPr>
              <w:ind w:left="12"/>
              <w:rPr>
                <w:rFonts w:ascii="Arial" w:hAnsi="Arial" w:cs="Arial"/>
                <w:sz w:val="24"/>
              </w:rPr>
            </w:pPr>
            <w:r>
              <w:rPr>
                <w:rFonts w:ascii="Arial" w:hAnsi="Arial" w:cs="Arial" w:hint="eastAsia"/>
                <w:sz w:val="24"/>
              </w:rPr>
              <w:t>10 Months</w:t>
            </w:r>
            <w:r w:rsidR="001C1604">
              <w:rPr>
                <w:rFonts w:ascii="Arial" w:hAnsi="Arial" w:cs="Arial"/>
                <w:sz w:val="24"/>
              </w:rPr>
              <w:t>.</w:t>
            </w:r>
          </w:p>
        </w:tc>
      </w:tr>
    </w:tbl>
    <w:p w:rsidR="001C1604" w:rsidRDefault="001C1604">
      <w:pPr>
        <w:rPr>
          <w:rFonts w:ascii="Arial" w:hAnsi="Arial" w:cs="Arial"/>
          <w:sz w:val="24"/>
        </w:rPr>
      </w:pPr>
    </w:p>
    <w:sectPr w:rsidR="001C1604" w:rsidSect="00192FED">
      <w:headerReference w:type="default" r:id="rId7"/>
      <w:pgSz w:w="11906" w:h="16838"/>
      <w:pgMar w:top="794" w:right="794" w:bottom="794" w:left="79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8B7" w:rsidRDefault="00E408B7">
      <w:r>
        <w:separator/>
      </w:r>
    </w:p>
  </w:endnote>
  <w:endnote w:type="continuationSeparator" w:id="1">
    <w:p w:rsidR="00E408B7" w:rsidRDefault="00E40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8B7" w:rsidRDefault="00E408B7">
      <w:r>
        <w:separator/>
      </w:r>
    </w:p>
  </w:footnote>
  <w:footnote w:type="continuationSeparator" w:id="1">
    <w:p w:rsidR="00E408B7" w:rsidRDefault="00E40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04" w:rsidRDefault="0069515B">
    <w:pPr>
      <w:rPr>
        <w:rFonts w:ascii="Arial" w:hAnsi="Arial" w:cs="Arial"/>
        <w:b/>
        <w:bCs/>
        <w:sz w:val="36"/>
        <w:szCs w:val="36"/>
      </w:rPr>
    </w:pPr>
    <w:r>
      <w:rPr>
        <w:rFonts w:hint="eastAsia"/>
        <w:noProof/>
        <w:sz w:val="36"/>
      </w:rPr>
      <w:drawing>
        <wp:inline distT="0" distB="0" distL="0" distR="0">
          <wp:extent cx="1219200" cy="409575"/>
          <wp:effectExtent l="1905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1"/>
                  <a:srcRect/>
                  <a:stretch>
                    <a:fillRect/>
                  </a:stretch>
                </pic:blipFill>
                <pic:spPr bwMode="auto">
                  <a:xfrm>
                    <a:off x="0" y="0"/>
                    <a:ext cx="1219200" cy="409575"/>
                  </a:xfrm>
                  <a:prstGeom prst="rect">
                    <a:avLst/>
                  </a:prstGeom>
                  <a:noFill/>
                  <a:ln w="9525">
                    <a:noFill/>
                    <a:miter lim="800000"/>
                    <a:headEnd/>
                    <a:tailEnd/>
                  </a:ln>
                </pic:spPr>
              </pic:pic>
            </a:graphicData>
          </a:graphic>
        </wp:inline>
      </w:drawing>
    </w:r>
    <w:r w:rsidR="001C1604">
      <w:rPr>
        <w:rFonts w:hint="eastAsia"/>
      </w:rPr>
      <w:t xml:space="preserve"> </w:t>
    </w:r>
    <w:r w:rsidR="001C1604">
      <w:rPr>
        <w:rFonts w:hint="eastAsia"/>
        <w:b/>
        <w:bCs/>
        <w:sz w:val="48"/>
      </w:rPr>
      <w:t xml:space="preserve">  </w:t>
    </w:r>
    <w:r w:rsidR="001C1604">
      <w:rPr>
        <w:rFonts w:ascii="Arial" w:hAnsi="Arial" w:cs="Arial"/>
        <w:b/>
        <w:bCs/>
        <w:sz w:val="36"/>
        <w:szCs w:val="36"/>
      </w:rPr>
      <w:t>常</w:t>
    </w:r>
    <w:r w:rsidR="001C1604">
      <w:rPr>
        <w:rFonts w:ascii="Arial" w:hAnsi="Arial" w:cs="Arial"/>
        <w:b/>
        <w:bCs/>
        <w:sz w:val="36"/>
        <w:szCs w:val="36"/>
      </w:rPr>
      <w:t xml:space="preserve"> </w:t>
    </w:r>
    <w:r w:rsidR="001C1604">
      <w:rPr>
        <w:rFonts w:ascii="Arial" w:hAnsi="Arial" w:cs="Arial"/>
        <w:b/>
        <w:bCs/>
        <w:sz w:val="36"/>
        <w:szCs w:val="36"/>
      </w:rPr>
      <w:t>州</w:t>
    </w:r>
    <w:r w:rsidR="001C1604">
      <w:rPr>
        <w:rFonts w:ascii="Arial" w:hAnsi="Arial" w:cs="Arial"/>
        <w:b/>
        <w:bCs/>
        <w:sz w:val="36"/>
        <w:szCs w:val="36"/>
      </w:rPr>
      <w:t xml:space="preserve"> </w:t>
    </w:r>
    <w:r w:rsidR="001C1604">
      <w:rPr>
        <w:rFonts w:ascii="Arial" w:hAnsi="Arial" w:cs="Arial"/>
        <w:b/>
        <w:bCs/>
        <w:sz w:val="36"/>
        <w:szCs w:val="36"/>
      </w:rPr>
      <w:t>科</w:t>
    </w:r>
    <w:r w:rsidR="001C1604">
      <w:rPr>
        <w:rFonts w:ascii="Arial" w:hAnsi="Arial" w:cs="Arial"/>
        <w:b/>
        <w:bCs/>
        <w:sz w:val="36"/>
        <w:szCs w:val="36"/>
      </w:rPr>
      <w:t xml:space="preserve"> </w:t>
    </w:r>
    <w:r w:rsidR="001C1604">
      <w:rPr>
        <w:rFonts w:ascii="Arial" w:hAnsi="Arial" w:cs="Arial"/>
        <w:b/>
        <w:bCs/>
        <w:sz w:val="36"/>
        <w:szCs w:val="36"/>
      </w:rPr>
      <w:t>益</w:t>
    </w:r>
    <w:r w:rsidR="001C1604">
      <w:rPr>
        <w:rFonts w:ascii="Arial" w:hAnsi="Arial" w:cs="Arial"/>
        <w:b/>
        <w:bCs/>
        <w:sz w:val="36"/>
        <w:szCs w:val="36"/>
      </w:rPr>
      <w:t xml:space="preserve"> </w:t>
    </w:r>
    <w:r w:rsidR="001C1604">
      <w:rPr>
        <w:rFonts w:ascii="Arial" w:hAnsi="Arial" w:cs="Arial"/>
        <w:b/>
        <w:bCs/>
        <w:sz w:val="36"/>
        <w:szCs w:val="36"/>
      </w:rPr>
      <w:t>化</w:t>
    </w:r>
    <w:r w:rsidR="001C1604">
      <w:rPr>
        <w:rFonts w:ascii="Arial" w:hAnsi="Arial" w:cs="Arial"/>
        <w:b/>
        <w:bCs/>
        <w:sz w:val="36"/>
        <w:szCs w:val="36"/>
      </w:rPr>
      <w:t xml:space="preserve"> </w:t>
    </w:r>
    <w:r w:rsidR="001C1604">
      <w:rPr>
        <w:rFonts w:ascii="Arial" w:hAnsi="Arial" w:cs="Arial"/>
        <w:b/>
        <w:bCs/>
        <w:sz w:val="36"/>
        <w:szCs w:val="36"/>
      </w:rPr>
      <w:t>工</w:t>
    </w:r>
    <w:r w:rsidR="001C1604">
      <w:rPr>
        <w:rFonts w:ascii="Arial" w:hAnsi="Arial" w:cs="Arial"/>
        <w:b/>
        <w:bCs/>
        <w:sz w:val="36"/>
        <w:szCs w:val="36"/>
      </w:rPr>
      <w:t xml:space="preserve"> </w:t>
    </w:r>
    <w:r w:rsidR="001C1604">
      <w:rPr>
        <w:rFonts w:ascii="Arial" w:hAnsi="Arial" w:cs="Arial"/>
        <w:b/>
        <w:bCs/>
        <w:sz w:val="36"/>
        <w:szCs w:val="36"/>
      </w:rPr>
      <w:t>有</w:t>
    </w:r>
    <w:r w:rsidR="001C1604">
      <w:rPr>
        <w:rFonts w:ascii="Arial" w:hAnsi="Arial" w:cs="Arial"/>
        <w:b/>
        <w:bCs/>
        <w:sz w:val="36"/>
        <w:szCs w:val="36"/>
      </w:rPr>
      <w:t xml:space="preserve"> </w:t>
    </w:r>
    <w:r w:rsidR="001C1604">
      <w:rPr>
        <w:rFonts w:ascii="Arial" w:hAnsi="Arial" w:cs="Arial"/>
        <w:b/>
        <w:bCs/>
        <w:sz w:val="36"/>
        <w:szCs w:val="36"/>
      </w:rPr>
      <w:t>限</w:t>
    </w:r>
    <w:r w:rsidR="001C1604">
      <w:rPr>
        <w:rFonts w:ascii="Arial" w:hAnsi="Arial" w:cs="Arial"/>
        <w:b/>
        <w:bCs/>
        <w:sz w:val="36"/>
        <w:szCs w:val="36"/>
      </w:rPr>
      <w:t xml:space="preserve"> </w:t>
    </w:r>
    <w:r w:rsidR="001C1604">
      <w:rPr>
        <w:rFonts w:ascii="Arial" w:hAnsi="Arial" w:cs="Arial"/>
        <w:b/>
        <w:bCs/>
        <w:sz w:val="36"/>
        <w:szCs w:val="36"/>
      </w:rPr>
      <w:t>公</w:t>
    </w:r>
    <w:r w:rsidR="001C1604">
      <w:rPr>
        <w:rFonts w:ascii="Arial" w:hAnsi="Arial" w:cs="Arial"/>
        <w:b/>
        <w:bCs/>
        <w:sz w:val="36"/>
        <w:szCs w:val="36"/>
      </w:rPr>
      <w:t xml:space="preserve"> </w:t>
    </w:r>
    <w:r w:rsidR="001C1604">
      <w:rPr>
        <w:rFonts w:ascii="Arial" w:hAnsi="Arial" w:cs="Arial"/>
        <w:b/>
        <w:bCs/>
        <w:sz w:val="36"/>
        <w:szCs w:val="36"/>
      </w:rPr>
      <w:t>司</w:t>
    </w:r>
  </w:p>
  <w:p w:rsidR="001C1604" w:rsidRDefault="001C1604">
    <w:pPr>
      <w:spacing w:line="400" w:lineRule="exact"/>
      <w:jc w:val="center"/>
      <w:rPr>
        <w:rFonts w:ascii="Arial" w:hAnsi="Arial" w:cs="Arial"/>
        <w:b/>
        <w:bCs/>
        <w:sz w:val="30"/>
      </w:rPr>
    </w:pPr>
    <w:r>
      <w:rPr>
        <w:rFonts w:ascii="Arial" w:hAnsi="Arial" w:cs="Arial"/>
        <w:b/>
        <w:bCs/>
        <w:sz w:val="30"/>
      </w:rPr>
      <w:t xml:space="preserve">  CHANGZHOU KOYE CHEMICAL CO.,LTD.</w:t>
    </w:r>
  </w:p>
  <w:p w:rsidR="001C1604" w:rsidRDefault="001C1604">
    <w:pPr>
      <w:jc w:val="center"/>
      <w:rPr>
        <w:rFonts w:ascii="Arial" w:hAnsi="Arial" w:cs="Arial"/>
        <w:sz w:val="20"/>
        <w:szCs w:val="20"/>
      </w:rPr>
    </w:pPr>
    <w:r>
      <w:rPr>
        <w:rFonts w:ascii="Arial" w:hAnsi="Arial" w:cs="Arial"/>
        <w:sz w:val="20"/>
        <w:szCs w:val="20"/>
      </w:rPr>
      <w:t>RM 111</w:t>
    </w:r>
    <w:r>
      <w:rPr>
        <w:rFonts w:ascii="Arial" w:hAnsi="Arial" w:cs="Arial" w:hint="eastAsia"/>
        <w:sz w:val="20"/>
        <w:szCs w:val="20"/>
      </w:rPr>
      <w:t>6</w:t>
    </w:r>
    <w:r>
      <w:rPr>
        <w:rFonts w:ascii="Arial" w:hAnsi="Arial" w:cs="Arial"/>
        <w:sz w:val="20"/>
        <w:szCs w:val="20"/>
      </w:rPr>
      <w:t xml:space="preserve">, </w:t>
    </w:r>
    <w:r>
      <w:rPr>
        <w:rFonts w:ascii="Arial" w:hAnsi="Arial" w:cs="Arial" w:hint="eastAsia"/>
        <w:sz w:val="20"/>
        <w:szCs w:val="20"/>
      </w:rPr>
      <w:t xml:space="preserve">1117 </w:t>
    </w:r>
    <w:r>
      <w:rPr>
        <w:rFonts w:ascii="Arial" w:hAnsi="Arial" w:cs="Arial"/>
        <w:sz w:val="20"/>
        <w:szCs w:val="20"/>
      </w:rPr>
      <w:t>ECO BUSINESS PLAZA, 66, EAST GUANHE ROAD, CHANGZHOU,</w:t>
    </w:r>
    <w:r>
      <w:rPr>
        <w:rFonts w:ascii="Arial" w:hAnsi="Arial" w:cs="Arial" w:hint="eastAsia"/>
        <w:sz w:val="20"/>
        <w:szCs w:val="20"/>
      </w:rPr>
      <w:t xml:space="preserve"> </w:t>
    </w:r>
    <w:r>
      <w:rPr>
        <w:rFonts w:ascii="Arial" w:hAnsi="Arial" w:cs="Arial"/>
        <w:sz w:val="20"/>
        <w:szCs w:val="20"/>
      </w:rPr>
      <w:t>JIANGSU</w:t>
    </w:r>
    <w:r>
      <w:rPr>
        <w:rFonts w:ascii="Arial" w:hAnsi="Arial" w:cs="Arial" w:hint="eastAsia"/>
        <w:sz w:val="20"/>
        <w:szCs w:val="20"/>
      </w:rPr>
      <w:t>, CHINA</w:t>
    </w:r>
  </w:p>
  <w:p w:rsidR="001C1604" w:rsidRDefault="001C1604">
    <w:pPr>
      <w:pStyle w:val="a6"/>
      <w:ind w:firstLineChars="900" w:firstLine="1800"/>
      <w:jc w:val="both"/>
      <w:rPr>
        <w:color w:val="000080"/>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913"/>
    <w:rsid w:val="0001456B"/>
    <w:rsid w:val="00066F95"/>
    <w:rsid w:val="000B4277"/>
    <w:rsid w:val="000E4023"/>
    <w:rsid w:val="001306C3"/>
    <w:rsid w:val="00161194"/>
    <w:rsid w:val="00192FED"/>
    <w:rsid w:val="001C1604"/>
    <w:rsid w:val="001D7BBA"/>
    <w:rsid w:val="00221CDC"/>
    <w:rsid w:val="00240A86"/>
    <w:rsid w:val="00275CB0"/>
    <w:rsid w:val="00293CD9"/>
    <w:rsid w:val="002A53B3"/>
    <w:rsid w:val="002D2DD6"/>
    <w:rsid w:val="003C72CE"/>
    <w:rsid w:val="003C7FEE"/>
    <w:rsid w:val="003D7203"/>
    <w:rsid w:val="003E15B2"/>
    <w:rsid w:val="003F2FAD"/>
    <w:rsid w:val="005B60C1"/>
    <w:rsid w:val="00651EE4"/>
    <w:rsid w:val="00676C23"/>
    <w:rsid w:val="0069515B"/>
    <w:rsid w:val="007350EE"/>
    <w:rsid w:val="007A0FF3"/>
    <w:rsid w:val="00834B61"/>
    <w:rsid w:val="00836992"/>
    <w:rsid w:val="00842026"/>
    <w:rsid w:val="0085775B"/>
    <w:rsid w:val="008E0ED3"/>
    <w:rsid w:val="009637FE"/>
    <w:rsid w:val="00976DF5"/>
    <w:rsid w:val="009E3733"/>
    <w:rsid w:val="00A00A2B"/>
    <w:rsid w:val="00AB4E51"/>
    <w:rsid w:val="00AE4E3E"/>
    <w:rsid w:val="00B36FE5"/>
    <w:rsid w:val="00B81602"/>
    <w:rsid w:val="00BB1C91"/>
    <w:rsid w:val="00BC3AB7"/>
    <w:rsid w:val="00BE134A"/>
    <w:rsid w:val="00C12476"/>
    <w:rsid w:val="00CE14C1"/>
    <w:rsid w:val="00CE7913"/>
    <w:rsid w:val="00D31E4E"/>
    <w:rsid w:val="00D361F2"/>
    <w:rsid w:val="00D53073"/>
    <w:rsid w:val="00DA6BC5"/>
    <w:rsid w:val="00DD7431"/>
    <w:rsid w:val="00DE3CB6"/>
    <w:rsid w:val="00E033DE"/>
    <w:rsid w:val="00E22157"/>
    <w:rsid w:val="00E408B7"/>
    <w:rsid w:val="00E45CBA"/>
    <w:rsid w:val="00E92D0A"/>
    <w:rsid w:val="00EF5F28"/>
    <w:rsid w:val="00F10F21"/>
    <w:rsid w:val="00FA400F"/>
    <w:rsid w:val="00FB01F6"/>
    <w:rsid w:val="05655326"/>
    <w:rsid w:val="3B7C2F3F"/>
    <w:rsid w:val="7C2E3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Title" w:semiHidden="0" w:uiPriority="10" w:unhideWhenUsed="0" w:qFormat="1"/>
    <w:lsdException w:name="Default Paragraph Font" w:uiPriority="0" w:unhideWhenUsed="0"/>
    <w:lsdException w:name="Body Text" w:uiPriority="0" w:unhideWhenUsed="0"/>
    <w:lsdException w:name="Body Text Indent" w:uiPriority="0" w:unhideWhenUsed="0"/>
    <w:lsdException w:name="Subtitle" w:semiHidden="0" w:uiPriority="11" w:unhideWhenUsed="0" w:qFormat="1"/>
    <w:lsdException w:name="Body Text 3" w:uiPriority="0" w:unhideWhenUsed="0"/>
    <w:lsdException w:name="Hyperlink" w:uiPriority="0" w:unhideWhenUsed="0"/>
    <w:lsdException w:name="Strong" w:semiHidden="0" w:uiPriority="0" w:unhideWhenUsed="0" w:qFormat="1"/>
    <w:lsdException w:name="Emphasis" w:semiHidden="0" w:uiPriority="20" w:unhideWhenUsed="0" w:qFormat="1"/>
    <w:lsdException w:name="Normal (Web)" w:uiPriority="0" w:unhideWhenUsed="0"/>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ED"/>
    <w:pPr>
      <w:widowControl w:val="0"/>
      <w:jc w:val="both"/>
    </w:pPr>
    <w:rPr>
      <w:kern w:val="2"/>
      <w:sz w:val="21"/>
      <w:szCs w:val="24"/>
    </w:rPr>
  </w:style>
  <w:style w:type="paragraph" w:styleId="1">
    <w:name w:val="heading 1"/>
    <w:basedOn w:val="a"/>
    <w:next w:val="a"/>
    <w:qFormat/>
    <w:rsid w:val="00192FED"/>
    <w:pPr>
      <w:keepNext/>
      <w:jc w:val="center"/>
      <w:outlineLvl w:val="0"/>
    </w:pPr>
    <w:rPr>
      <w:sz w:val="28"/>
    </w:rPr>
  </w:style>
  <w:style w:type="paragraph" w:styleId="2">
    <w:name w:val="heading 2"/>
    <w:basedOn w:val="a"/>
    <w:next w:val="a"/>
    <w:qFormat/>
    <w:rsid w:val="00192FED"/>
    <w:pPr>
      <w:keepNext/>
      <w:outlineLvl w:val="1"/>
    </w:pPr>
    <w:rPr>
      <w:b/>
      <w:bCs/>
      <w:sz w:val="24"/>
    </w:rPr>
  </w:style>
  <w:style w:type="paragraph" w:styleId="3">
    <w:name w:val="heading 3"/>
    <w:basedOn w:val="a"/>
    <w:qFormat/>
    <w:rsid w:val="00192FED"/>
    <w:pPr>
      <w:widowControl/>
      <w:spacing w:before="100" w:beforeAutospacing="1" w:after="100" w:afterAutospacing="1"/>
      <w:jc w:val="left"/>
      <w:outlineLvl w:val="2"/>
    </w:pPr>
    <w:rPr>
      <w:rFonts w:ascii="宋体" w:hAnsi="宋体"/>
      <w:b/>
      <w:bCs/>
      <w:kern w:val="0"/>
      <w:sz w:val="27"/>
      <w:szCs w:val="27"/>
    </w:rPr>
  </w:style>
  <w:style w:type="paragraph" w:styleId="5">
    <w:name w:val="heading 5"/>
    <w:basedOn w:val="a"/>
    <w:next w:val="a"/>
    <w:qFormat/>
    <w:rsid w:val="00192FED"/>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92FED"/>
    <w:rPr>
      <w:b/>
      <w:bCs/>
    </w:rPr>
  </w:style>
  <w:style w:type="character" w:styleId="a4">
    <w:name w:val="Hyperlink"/>
    <w:basedOn w:val="a0"/>
    <w:semiHidden/>
    <w:rsid w:val="00192FED"/>
    <w:rPr>
      <w:color w:val="0000FF"/>
      <w:u w:val="single"/>
    </w:rPr>
  </w:style>
  <w:style w:type="paragraph" w:styleId="30">
    <w:name w:val="Body Text 3"/>
    <w:basedOn w:val="a"/>
    <w:semiHidden/>
    <w:rsid w:val="00192FED"/>
    <w:pPr>
      <w:widowControl/>
      <w:spacing w:before="100" w:beforeAutospacing="1" w:after="100" w:afterAutospacing="1"/>
      <w:jc w:val="left"/>
    </w:pPr>
    <w:rPr>
      <w:rFonts w:ascii="宋体" w:hAnsi="宋体"/>
      <w:kern w:val="0"/>
      <w:sz w:val="24"/>
    </w:rPr>
  </w:style>
  <w:style w:type="paragraph" w:styleId="a5">
    <w:name w:val="Body Text Indent"/>
    <w:basedOn w:val="a"/>
    <w:semiHidden/>
    <w:rsid w:val="00192FED"/>
    <w:pPr>
      <w:ind w:left="12"/>
    </w:pPr>
    <w:rPr>
      <w:sz w:val="24"/>
    </w:rPr>
  </w:style>
  <w:style w:type="paragraph" w:styleId="a6">
    <w:name w:val="Body Text"/>
    <w:basedOn w:val="a"/>
    <w:semiHidden/>
    <w:rsid w:val="00192FED"/>
    <w:pPr>
      <w:jc w:val="center"/>
    </w:pPr>
    <w:rPr>
      <w:rFonts w:ascii="Georgia" w:hAnsi="Georgia" w:cs="Arial"/>
      <w:sz w:val="22"/>
    </w:rPr>
  </w:style>
  <w:style w:type="paragraph" w:styleId="a7">
    <w:name w:val="footer"/>
    <w:basedOn w:val="a"/>
    <w:semiHidden/>
    <w:rsid w:val="00192FED"/>
    <w:pPr>
      <w:tabs>
        <w:tab w:val="center" w:pos="4153"/>
        <w:tab w:val="right" w:pos="8306"/>
      </w:tabs>
      <w:snapToGrid w:val="0"/>
      <w:jc w:val="left"/>
    </w:pPr>
    <w:rPr>
      <w:sz w:val="18"/>
      <w:szCs w:val="18"/>
    </w:rPr>
  </w:style>
  <w:style w:type="paragraph" w:styleId="a8">
    <w:name w:val="Normal (Web)"/>
    <w:basedOn w:val="a"/>
    <w:semiHidden/>
    <w:rsid w:val="00192FED"/>
    <w:pPr>
      <w:widowControl/>
      <w:spacing w:before="100" w:beforeAutospacing="1" w:after="100" w:afterAutospacing="1"/>
      <w:jc w:val="left"/>
    </w:pPr>
    <w:rPr>
      <w:rFonts w:ascii="宋体" w:hAnsi="宋体"/>
      <w:kern w:val="0"/>
      <w:sz w:val="24"/>
    </w:rPr>
  </w:style>
  <w:style w:type="paragraph" w:styleId="a9">
    <w:name w:val="header"/>
    <w:basedOn w:val="a"/>
    <w:semiHidden/>
    <w:rsid w:val="00192FED"/>
    <w:pPr>
      <w:pBdr>
        <w:bottom w:val="single" w:sz="6" w:space="1" w:color="auto"/>
      </w:pBdr>
      <w:tabs>
        <w:tab w:val="center" w:pos="4153"/>
        <w:tab w:val="right" w:pos="8306"/>
      </w:tabs>
      <w:snapToGrid w:val="0"/>
      <w:jc w:val="center"/>
    </w:pPr>
    <w:rPr>
      <w:sz w:val="18"/>
      <w:szCs w:val="18"/>
    </w:rPr>
  </w:style>
  <w:style w:type="paragraph" w:customStyle="1" w:styleId="ziti">
    <w:name w:val="ziti"/>
    <w:basedOn w:val="a"/>
    <w:rsid w:val="00192FED"/>
    <w:pPr>
      <w:widowControl/>
      <w:spacing w:before="100" w:beforeAutospacing="1" w:after="100" w:afterAutospacing="1" w:line="300" w:lineRule="atLeast"/>
      <w:jc w:val="left"/>
    </w:pPr>
    <w:rPr>
      <w:rFonts w:ascii="Arial" w:hAnsi="Arial" w:cs="Arial"/>
      <w:kern w:val="0"/>
      <w:sz w:val="24"/>
    </w:rPr>
  </w:style>
  <w:style w:type="paragraph" w:styleId="aa">
    <w:name w:val="Balloon Text"/>
    <w:basedOn w:val="a"/>
    <w:link w:val="Char"/>
    <w:uiPriority w:val="99"/>
    <w:semiHidden/>
    <w:unhideWhenUsed/>
    <w:rsid w:val="00D53073"/>
    <w:rPr>
      <w:sz w:val="18"/>
      <w:szCs w:val="18"/>
    </w:rPr>
  </w:style>
  <w:style w:type="character" w:customStyle="1" w:styleId="Char">
    <w:name w:val="批注框文本 Char"/>
    <w:basedOn w:val="a0"/>
    <w:link w:val="aa"/>
    <w:uiPriority w:val="99"/>
    <w:semiHidden/>
    <w:rsid w:val="00D53073"/>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214</Words>
  <Characters>1223</Characters>
  <Application>Microsoft Office Word</Application>
  <DocSecurity>0</DocSecurity>
  <PresentationFormat/>
  <Lines>10</Lines>
  <Paragraphs>2</Paragraphs>
  <Slides>0</Slides>
  <Notes>0</Notes>
  <HiddenSlides>0</HiddenSlides>
  <MMClips>0</MMClips>
  <ScaleCrop>false</ScaleCrop>
  <Manager/>
  <Company>Microsoft China</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HEDP                 Code: KW-100</dc:title>
  <dc:subject/>
  <dc:creator>Billgates</dc:creator>
  <cp:keywords/>
  <dc:description/>
  <cp:lastModifiedBy>yang</cp:lastModifiedBy>
  <cp:revision>5</cp:revision>
  <cp:lastPrinted>2009-07-28T02:14:00Z</cp:lastPrinted>
  <dcterms:created xsi:type="dcterms:W3CDTF">2015-04-10T05:26:00Z</dcterms:created>
  <dcterms:modified xsi:type="dcterms:W3CDTF">2015-04-23T07:24:00Z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